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w:t>
      </w:r>
    </w:p>
    <w:p>
      <w:r>
        <w:t>Bundesgericht (BGE), 2000-01-14, FR</w:t>
      </w:r>
    </w:p>
    <w:p>
      <w:r>
        <w:rPr>
          <w:b/>
        </w:rPr>
        <w:t xml:space="preserve">Quelle: </w:t>
      </w:r>
      <w:r>
        <w:t>https://mcp.opencaselaw.ch/entscheid/bge_126 III 5</w:t>
      </w:r>
    </w:p>
    <w:p>
      <w:r>
        <w:t>FR: ATF 126 III 5</w:t>
      </w:r>
    </w:p>
    <w:p>
      <w:r>
        <w:t>IT: DTF 126 III 5</w:t>
      </w:r>
    </w:p>
    <w:p>
      <w:pPr>
        <w:pStyle w:val="Heading2"/>
      </w:pPr>
      <w:r>
        <w:t>Regeste</w:t>
      </w:r>
    </w:p>
    <w:p>
      <w:r>
        <w:t>Regeste Art. 67 Abs. 3 ZGB; Aufhebung der Wahlen in den Vereinsvorstand; zwingend geforderter Inhalt der Traktandenliste. Auf der Traktandenliste ist anzugeben, dass Wahlen abgehalten werden; nicht erwähnt zu werden brauchen hingegen die Namen der Kandidaten der anstehenden Wahlen. Statuten, Übung oder ein Entscheid im konkreten Fall können indessen bestimmen, dass die Namen darin aufzuführen oder innert bestimmter Frist bekanntzugeben sind (E. 2).</w:t>
      </w:r>
    </w:p>
    <w:p>
      <w:pPr>
        <w:pStyle w:val="Heading2"/>
      </w:pPr>
      <w:r>
        <w:t>Erwägungen</w:t>
      </w:r>
    </w:p>
    <w:p>
      <w:r>
        <w:rPr>
          <w:b/>
        </w:rPr>
        <w:t>E. 2</w:t>
      </w:r>
    </w:p>
    <w:p>
      <w:r>
        <w:t>La recourante reproche à l'autorité cantonale d'avoir considéré que ses deux candidats ne pouvaient se présenter aux élections du 24 mai 1997, faute d'avoir été annoncés préalablement. Elle fait valoir que les statuts de l'intimée exigent seulement que les propositions des amicales figurent sur l'ordre du jour. En revanche, il ne serait pas nécessaire que l'ensemble des personnes voulant se présenter aux élections du comité central y soit mentionné. a) Selon l' art. 67 al. 3 CC , les décisions de l'assemblée générale ne peuvent être prises en dehors de l'ordre du jour que si les statuts le prévoient expressément: en règle générale, il faut donc que les objets sur lesquels l'assemblée doit statuer soient portés à l'ordre du jour. BGE 126 III 5 S. 7 Les textes allemand et italien de cette disposition légale précisent qu'ils doivent l'être dûment (gehörig angekündigt, debitamente preannunciati). Savoir s'il en est ainsi se tranche de cas en cas en fonction des circonstances concrètes. Il faut qu'un objet figure à l'ordre du jour de façon telle que les sociétaires puissent aisément déterminer, au vu des statuts et de l'ordre du jour, sur quels points il y aura lieu de délibérer et le cas échéant de prendre une décision ( ATF 114 II 193 consid. 5b p. 197/198 et les références). Cette règle implique que la tenue d'éventuelles élections figure dans l'ordre du jour; en revanche, elle ne s'applique pas aux simples noms de candidats. Les statuts, l'usage ou - dans les limites de l' art. 63 al. 1 CC - une décision ad hoc peuvent cependant prévoir que les candidatures doivent être déposées jusqu'à une certaine date avant l'assemblée, afin qu'une liste puisse être présentée suffisamment tôt aux électeurs, conformément au principe de l' art. 67 al. 3 CC (RIEMER, Berner Kommentar, n. 7 ad art. 69 CC ). b) En l'espèce, les statuts ne posent pas d'exigence de forme plus rigoureuse que celle qui découle de l' art. 67 al. 3 CC . En particulier, ils ne prévoient pas expressément que les noms des candidats à élire doivent être portés à l'ordre du jour, ni être annoncés dans un certain délai. L'arrêt entrepris ne constate pas non plus qu'une décision aurait été spécialement prise en ce sens pour les élections en cause. Le trésorier de la SRLS a certes précisé qu'aucun candidat ne s'était jamais présenté en dernière minute, les noms des personnes à élire devant figurer à l'ordre du jour de l'assemblée. Cette seule déclaration ne permet toutefois pas d'affirmer qu'il s'agirait d'un usage. En l'absence de règle contraire, il y a lieu d'admettre que des personnes puissent décider de se porter candidates lors de la réception d'une convocation indiquant la tenue de prochaines élections; d'autant qu'après s'être annoncés, certains peuvent renoncer à se présenter, ce qui implique qu'il faille les remplacer. L'autorité cantonale a donc considéré à tort que les "propositions" des amicales à soumettre à l'assemblée des délégués concernaient également les noms de candidats.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